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A143" w14:textId="3E0D70E2" w:rsidR="00BB7DC0" w:rsidRPr="002E1BFD" w:rsidRDefault="00D67D93" w:rsidP="00BB7DC0">
      <w:pPr>
        <w:pStyle w:val="BodyText"/>
        <w:kinsoku w:val="0"/>
        <w:overflowPunct w:val="0"/>
        <w:spacing w:line="275" w:lineRule="exact"/>
        <w:ind w:left="2146" w:hanging="2146"/>
        <w:jc w:val="center"/>
        <w:rPr>
          <w:rFonts w:eastAsia="Calibri"/>
          <w:b/>
          <w:bCs/>
          <w:sz w:val="28"/>
          <w:szCs w:val="28"/>
          <w:lang w:eastAsia="en-US"/>
        </w:rPr>
      </w:pPr>
      <w:r>
        <w:rPr>
          <w:rFonts w:eastAsia="Calibri"/>
          <w:b/>
          <w:bCs/>
          <w:sz w:val="28"/>
          <w:szCs w:val="28"/>
          <w:lang w:eastAsia="en-US"/>
        </w:rPr>
        <w:t>Eastern International Ltd.</w:t>
      </w:r>
      <w:r w:rsidR="00BB7DC0" w:rsidRPr="002E1BFD">
        <w:rPr>
          <w:rFonts w:eastAsia="Calibri"/>
          <w:b/>
          <w:bCs/>
          <w:sz w:val="28"/>
          <w:szCs w:val="28"/>
          <w:lang w:eastAsia="en-US"/>
        </w:rPr>
        <w:t xml:space="preserve"> </w:t>
      </w:r>
    </w:p>
    <w:p w14:paraId="360FB4CF" w14:textId="77777777" w:rsidR="00D67D93" w:rsidRPr="00490AC4" w:rsidRDefault="003F41FB" w:rsidP="00CA4F8E">
      <w:pPr>
        <w:spacing w:before="160" w:after="114" w:line="343" w:lineRule="atLeast"/>
        <w:jc w:val="center"/>
        <w:outlineLvl w:val="0"/>
        <w:rPr>
          <w:rFonts w:eastAsia="Times New Roman" w:cs="Times New Roman"/>
          <w:b/>
          <w:bCs/>
          <w:sz w:val="22"/>
          <w:lang w:eastAsia="en-US"/>
        </w:rPr>
      </w:pPr>
      <w:r w:rsidRPr="00490AC4">
        <w:rPr>
          <w:rFonts w:eastAsia="Times New Roman" w:cs="Times New Roman"/>
          <w:b/>
          <w:bCs/>
          <w:sz w:val="22"/>
          <w:lang w:eastAsia="en-US"/>
        </w:rPr>
        <w:t>Related Party Transactions Policy</w:t>
      </w:r>
    </w:p>
    <w:p w14:paraId="139846CA" w14:textId="046C72C4" w:rsidR="00D67D93" w:rsidRDefault="003F41FB" w:rsidP="00CA4F8E">
      <w:pPr>
        <w:pStyle w:val="NoSpacing"/>
        <w:widowControl/>
        <w:jc w:val="center"/>
        <w:rPr>
          <w:rFonts w:ascii="Times New Roman" w:hAnsi="Times New Roman" w:cs="Times New Roman"/>
          <w:i/>
          <w:iCs/>
        </w:rPr>
      </w:pPr>
      <w:r>
        <w:rPr>
          <w:rFonts w:ascii="Times New Roman" w:hAnsi="Times New Roman" w:cs="Times New Roman"/>
          <w:i/>
          <w:iCs/>
        </w:rPr>
        <w:t>(Adopted by the Board o</w:t>
      </w:r>
      <w:r w:rsidR="009579A1">
        <w:rPr>
          <w:rFonts w:ascii="Times New Roman" w:hAnsi="Times New Roman" w:cs="Times New Roman"/>
          <w:i/>
          <w:iCs/>
        </w:rPr>
        <w:t xml:space="preserve">f Directors on </w:t>
      </w:r>
      <w:r w:rsidR="00D67D93">
        <w:rPr>
          <w:rFonts w:ascii="Times New Roman" w:hAnsi="Times New Roman" w:cs="Times New Roman"/>
          <w:i/>
          <w:iCs/>
        </w:rPr>
        <w:t>February</w:t>
      </w:r>
      <w:r w:rsidR="00BB7DC0">
        <w:rPr>
          <w:rFonts w:ascii="Times New Roman" w:hAnsi="Times New Roman" w:cs="Times New Roman"/>
          <w:i/>
          <w:iCs/>
        </w:rPr>
        <w:t xml:space="preserve"> </w:t>
      </w:r>
      <w:r w:rsidR="00D67D93">
        <w:rPr>
          <w:rFonts w:ascii="Times New Roman" w:hAnsi="Times New Roman" w:cs="Times New Roman"/>
          <w:i/>
          <w:iCs/>
        </w:rPr>
        <w:t>14</w:t>
      </w:r>
      <w:r w:rsidR="00D41560">
        <w:rPr>
          <w:rFonts w:ascii="Times New Roman" w:hAnsi="Times New Roman" w:cs="Times New Roman"/>
          <w:i/>
          <w:iCs/>
        </w:rPr>
        <w:t>, 202</w:t>
      </w:r>
      <w:r w:rsidR="00D67D93">
        <w:rPr>
          <w:rFonts w:ascii="Times New Roman" w:hAnsi="Times New Roman" w:cs="Times New Roman"/>
          <w:i/>
          <w:iCs/>
        </w:rPr>
        <w:t>5</w:t>
      </w:r>
      <w:r>
        <w:rPr>
          <w:rFonts w:ascii="Times New Roman" w:hAnsi="Times New Roman" w:cs="Times New Roman"/>
          <w:i/>
          <w:iCs/>
        </w:rPr>
        <w:t>)</w:t>
      </w:r>
    </w:p>
    <w:p w14:paraId="53E061D6" w14:textId="77777777" w:rsidR="00D67D93" w:rsidRPr="00CA4F8E" w:rsidRDefault="00D67D93" w:rsidP="00CA4F8E">
      <w:pPr>
        <w:spacing w:before="160" w:after="114" w:line="343" w:lineRule="atLeast"/>
        <w:outlineLvl w:val="0"/>
        <w:rPr>
          <w:rFonts w:ascii="Helvetica" w:eastAsia="Times New Roman" w:hAnsi="Helvetica" w:cs="Arial"/>
          <w:b/>
          <w:bCs/>
          <w:kern w:val="36"/>
          <w:sz w:val="32"/>
          <w:szCs w:val="32"/>
        </w:rPr>
      </w:pPr>
    </w:p>
    <w:p w14:paraId="62164042"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b/>
          <w:bCs/>
          <w:color w:val="333333"/>
          <w:sz w:val="22"/>
          <w:lang w:val="en"/>
        </w:rPr>
        <w:t>A. Introduction.</w:t>
      </w:r>
    </w:p>
    <w:p w14:paraId="0AAC04F0" w14:textId="70E0BEEE"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 xml:space="preserve">The Board of Directors </w:t>
      </w:r>
      <w:r>
        <w:rPr>
          <w:rFonts w:eastAsia="Times New Roman" w:cs="Times New Roman"/>
          <w:color w:val="333333"/>
          <w:sz w:val="22"/>
          <w:lang w:val="en"/>
        </w:rPr>
        <w:t xml:space="preserve">of </w:t>
      </w:r>
      <w:r w:rsidR="00377349">
        <w:rPr>
          <w:rFonts w:eastAsia="Times New Roman" w:cs="Times New Roman"/>
          <w:color w:val="333333"/>
          <w:sz w:val="22"/>
          <w:lang w:val="en"/>
        </w:rPr>
        <w:t>Eastern International Ltd.</w:t>
      </w:r>
      <w:r w:rsidR="00E278ED">
        <w:t xml:space="preserve"> </w:t>
      </w:r>
      <w:r>
        <w:rPr>
          <w:rFonts w:eastAsia="Times New Roman" w:cs="Times New Roman"/>
          <w:color w:val="333333"/>
          <w:sz w:val="22"/>
          <w:lang w:val="en"/>
        </w:rPr>
        <w:t xml:space="preserve">(the “Company”) </w:t>
      </w:r>
      <w:r w:rsidRPr="00CA4F8E">
        <w:rPr>
          <w:rFonts w:eastAsia="Times New Roman" w:cs="Times New Roman"/>
          <w:color w:val="333333"/>
          <w:sz w:val="22"/>
          <w:lang w:val="en"/>
        </w:rPr>
        <w:t>recognizes that related party transactions present a heightened risk of conflicts of interest and/or improper valuation (or the perception thereof) and, therefore, has adopted this policy, which shall be followed in connection with all related party transactions involving the Company.</w:t>
      </w:r>
    </w:p>
    <w:p w14:paraId="04462051"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color w:val="333333"/>
          <w:sz w:val="22"/>
          <w:lang w:val="en"/>
        </w:rPr>
        <w:t>Under this policy, any "Related Party Transaction" shall be consummated or shall continue only if:</w:t>
      </w:r>
    </w:p>
    <w:p w14:paraId="11526E96" w14:textId="77777777" w:rsidR="00D67D93" w:rsidRPr="00CA4F8E" w:rsidRDefault="003F41FB" w:rsidP="00CA4F8E">
      <w:pPr>
        <w:numPr>
          <w:ilvl w:val="0"/>
          <w:numId w:val="1"/>
        </w:numPr>
        <w:spacing w:before="100" w:beforeAutospacing="1" w:after="100" w:afterAutospacing="1" w:line="343" w:lineRule="atLeast"/>
        <w:ind w:left="0"/>
        <w:rPr>
          <w:rFonts w:eastAsia="Times New Roman" w:cs="Times New Roman"/>
          <w:color w:val="333333"/>
          <w:sz w:val="22"/>
          <w:lang w:val="en"/>
        </w:rPr>
      </w:pPr>
      <w:r>
        <w:rPr>
          <w:rFonts w:eastAsia="Times New Roman" w:cs="Times New Roman"/>
          <w:color w:val="333333"/>
          <w:sz w:val="22"/>
          <w:lang w:val="en"/>
        </w:rPr>
        <w:t>the Audit</w:t>
      </w:r>
      <w:r w:rsidRPr="00CA4F8E">
        <w:rPr>
          <w:rFonts w:eastAsia="Times New Roman" w:cs="Times New Roman"/>
          <w:color w:val="333333"/>
          <w:sz w:val="22"/>
          <w:lang w:val="en"/>
        </w:rPr>
        <w:t xml:space="preserve"> Committee shall approve or ratify such transaction in accordance with the guidelines set forth in the policy, provided the transaction is on terms comparable to those that could be obtained in arm's length dealings with an unrelated third party;</w:t>
      </w:r>
    </w:p>
    <w:p w14:paraId="22693BF2" w14:textId="77777777" w:rsidR="00D67D93" w:rsidRPr="00CA4F8E" w:rsidRDefault="003F41FB" w:rsidP="00CA4F8E">
      <w:pPr>
        <w:numPr>
          <w:ilvl w:val="0"/>
          <w:numId w:val="1"/>
        </w:numPr>
        <w:spacing w:before="100" w:beforeAutospacing="1" w:after="100" w:afterAutospacing="1" w:line="343" w:lineRule="atLeast"/>
        <w:ind w:left="0"/>
        <w:rPr>
          <w:rFonts w:eastAsia="Times New Roman" w:cs="Times New Roman"/>
          <w:color w:val="333333"/>
          <w:sz w:val="22"/>
          <w:lang w:val="en"/>
        </w:rPr>
      </w:pPr>
      <w:r w:rsidRPr="00CA4F8E">
        <w:rPr>
          <w:rFonts w:eastAsia="Times New Roman" w:cs="Times New Roman"/>
          <w:color w:val="333333"/>
          <w:sz w:val="22"/>
          <w:lang w:val="en"/>
        </w:rPr>
        <w:t>the transaction involves compensation approved by the Company's Compensation Committee.</w:t>
      </w:r>
    </w:p>
    <w:p w14:paraId="3A2D8962"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color w:val="333333"/>
          <w:sz w:val="22"/>
          <w:lang w:val="en"/>
        </w:rPr>
        <w:t>For these purposes, a "Related Party" is:</w:t>
      </w:r>
    </w:p>
    <w:p w14:paraId="7FFC3F9A" w14:textId="77777777" w:rsidR="00D67D93" w:rsidRPr="00CA4F8E" w:rsidRDefault="003F41FB" w:rsidP="00CA4F8E">
      <w:pPr>
        <w:numPr>
          <w:ilvl w:val="0"/>
          <w:numId w:val="2"/>
        </w:numPr>
        <w:spacing w:before="100" w:beforeAutospacing="1" w:after="100" w:afterAutospacing="1" w:line="343" w:lineRule="atLeast"/>
        <w:ind w:left="0"/>
        <w:rPr>
          <w:rFonts w:eastAsia="Times New Roman" w:cs="Times New Roman"/>
          <w:color w:val="333333"/>
          <w:sz w:val="22"/>
          <w:lang w:val="en"/>
        </w:rPr>
      </w:pPr>
      <w:r w:rsidRPr="00CA4F8E">
        <w:rPr>
          <w:rFonts w:eastAsia="Times New Roman" w:cs="Times New Roman"/>
          <w:color w:val="333333"/>
          <w:sz w:val="22"/>
          <w:lang w:val="en"/>
        </w:rPr>
        <w:t>a senior officer (which shall include at a minimum each executive vice president and Section 16 officer) or director of the Company</w:t>
      </w:r>
    </w:p>
    <w:p w14:paraId="0B20F055" w14:textId="77777777" w:rsidR="00D67D93" w:rsidRPr="00CA4F8E" w:rsidRDefault="003F41FB" w:rsidP="00CA4F8E">
      <w:pPr>
        <w:numPr>
          <w:ilvl w:val="0"/>
          <w:numId w:val="2"/>
        </w:numPr>
        <w:spacing w:before="100" w:beforeAutospacing="1" w:after="100" w:afterAutospacing="1" w:line="343" w:lineRule="atLeast"/>
        <w:ind w:left="0"/>
        <w:rPr>
          <w:rFonts w:eastAsia="Times New Roman" w:cs="Times New Roman"/>
          <w:color w:val="333333"/>
          <w:sz w:val="22"/>
          <w:lang w:val="en"/>
        </w:rPr>
      </w:pPr>
      <w:r w:rsidRPr="00CA4F8E">
        <w:rPr>
          <w:rFonts w:eastAsia="Times New Roman" w:cs="Times New Roman"/>
          <w:color w:val="333333"/>
          <w:sz w:val="22"/>
          <w:lang w:val="en"/>
        </w:rPr>
        <w:t>a shareholder owning in excess of five percent of the Company (or its controlled affiliates)</w:t>
      </w:r>
    </w:p>
    <w:p w14:paraId="09B0AA40" w14:textId="77777777" w:rsidR="00D67D93" w:rsidRPr="00CA4F8E" w:rsidRDefault="003F41FB" w:rsidP="00CA4F8E">
      <w:pPr>
        <w:numPr>
          <w:ilvl w:val="0"/>
          <w:numId w:val="2"/>
        </w:numPr>
        <w:spacing w:before="100" w:beforeAutospacing="1" w:after="100" w:afterAutospacing="1" w:line="343" w:lineRule="atLeast"/>
        <w:ind w:left="0"/>
        <w:rPr>
          <w:rFonts w:eastAsia="Times New Roman" w:cs="Times New Roman"/>
          <w:color w:val="333333"/>
          <w:sz w:val="22"/>
          <w:lang w:val="en"/>
        </w:rPr>
      </w:pPr>
      <w:r w:rsidRPr="00CA4F8E">
        <w:rPr>
          <w:rFonts w:eastAsia="Times New Roman" w:cs="Times New Roman"/>
          <w:color w:val="333333"/>
          <w:sz w:val="22"/>
          <w:lang w:val="en"/>
        </w:rPr>
        <w:t>a person who is an immediate family member of a senior officer or director</w:t>
      </w:r>
    </w:p>
    <w:p w14:paraId="598003A8" w14:textId="77777777" w:rsidR="00D67D93" w:rsidRPr="00CA4F8E" w:rsidRDefault="003F41FB" w:rsidP="00E278ED">
      <w:pPr>
        <w:numPr>
          <w:ilvl w:val="0"/>
          <w:numId w:val="2"/>
        </w:numPr>
        <w:spacing w:before="100" w:beforeAutospacing="1" w:after="100" w:afterAutospacing="1" w:line="343" w:lineRule="atLeast"/>
        <w:ind w:left="0"/>
        <w:jc w:val="both"/>
        <w:rPr>
          <w:rFonts w:eastAsia="Times New Roman" w:cs="Times New Roman"/>
          <w:color w:val="333333"/>
          <w:sz w:val="22"/>
          <w:lang w:val="en"/>
        </w:rPr>
      </w:pPr>
      <w:r w:rsidRPr="00CA4F8E">
        <w:rPr>
          <w:rFonts w:eastAsia="Times New Roman" w:cs="Times New Roman"/>
          <w:color w:val="333333"/>
          <w:sz w:val="22"/>
          <w:lang w:val="en"/>
        </w:rPr>
        <w:t>an entity which is owned or controlled by someone listed in 1, 2, or 3 above, or an entity in which someone listed in 1, 2, or 3 above has a substantial ownership interest or control of such entity.</w:t>
      </w:r>
    </w:p>
    <w:p w14:paraId="1F193CE5" w14:textId="77777777"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 For these purposes, a "Related Party Transaction" is a transaction between the Company and any Related Party (including any transactions requiring disclosure under Item 404 of Regulation S-K under the Securities Ex</w:t>
      </w:r>
      <w:r>
        <w:rPr>
          <w:rFonts w:eastAsia="Times New Roman" w:cs="Times New Roman"/>
          <w:color w:val="333333"/>
          <w:sz w:val="22"/>
          <w:lang w:val="en"/>
        </w:rPr>
        <w:t xml:space="preserve">change Act of 1934), other than the </w:t>
      </w:r>
      <w:r w:rsidRPr="00CA4F8E">
        <w:rPr>
          <w:rFonts w:eastAsia="Times New Roman" w:cs="Times New Roman"/>
          <w:color w:val="333333"/>
          <w:sz w:val="22"/>
          <w:lang w:val="en"/>
        </w:rPr>
        <w:t>transactions available to all employees generally</w:t>
      </w:r>
      <w:r>
        <w:rPr>
          <w:rFonts w:eastAsia="Times New Roman" w:cs="Times New Roman"/>
          <w:color w:val="333333"/>
          <w:sz w:val="22"/>
          <w:lang w:val="en"/>
        </w:rPr>
        <w:t>.</w:t>
      </w:r>
    </w:p>
    <w:p w14:paraId="2641D025"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b/>
          <w:bCs/>
          <w:color w:val="333333"/>
          <w:sz w:val="22"/>
          <w:lang w:val="en"/>
        </w:rPr>
        <w:t xml:space="preserve">B. </w:t>
      </w:r>
      <w:r>
        <w:rPr>
          <w:rFonts w:eastAsia="Times New Roman" w:cs="Times New Roman"/>
          <w:b/>
          <w:bCs/>
          <w:color w:val="333333"/>
          <w:sz w:val="22"/>
          <w:lang w:val="en"/>
        </w:rPr>
        <w:t xml:space="preserve">Audit </w:t>
      </w:r>
      <w:r w:rsidRPr="00CA4F8E">
        <w:rPr>
          <w:rFonts w:eastAsia="Times New Roman" w:cs="Times New Roman"/>
          <w:b/>
          <w:bCs/>
          <w:color w:val="333333"/>
          <w:sz w:val="22"/>
          <w:lang w:val="en"/>
        </w:rPr>
        <w:t>Committee Approval</w:t>
      </w:r>
    </w:p>
    <w:p w14:paraId="45DAE2B3" w14:textId="77777777"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 xml:space="preserve">The Board of Directors has determined that the </w:t>
      </w:r>
      <w:r>
        <w:rPr>
          <w:rFonts w:eastAsia="Times New Roman" w:cs="Times New Roman"/>
          <w:color w:val="333333"/>
          <w:sz w:val="22"/>
          <w:lang w:val="en"/>
        </w:rPr>
        <w:t>Audit</w:t>
      </w:r>
      <w:r w:rsidRPr="00CA4F8E">
        <w:rPr>
          <w:rFonts w:eastAsia="Times New Roman" w:cs="Times New Roman"/>
          <w:color w:val="333333"/>
          <w:sz w:val="22"/>
          <w:lang w:val="en"/>
        </w:rPr>
        <w:t xml:space="preserve"> Committee of the Board</w:t>
      </w:r>
      <w:r>
        <w:rPr>
          <w:rFonts w:eastAsia="Times New Roman" w:cs="Times New Roman"/>
          <w:color w:val="333333"/>
          <w:sz w:val="22"/>
          <w:lang w:val="en"/>
        </w:rPr>
        <w:t xml:space="preserve"> (the “Committee”)</w:t>
      </w:r>
      <w:r w:rsidRPr="00CA4F8E">
        <w:rPr>
          <w:rFonts w:eastAsia="Times New Roman" w:cs="Times New Roman"/>
          <w:color w:val="333333"/>
          <w:sz w:val="22"/>
          <w:lang w:val="en"/>
        </w:rPr>
        <w:t xml:space="preserve"> is best suited to review and approve Related Party Transactions. Accordingly, at each calendar year's first regularly scheduled </w:t>
      </w:r>
      <w:r>
        <w:rPr>
          <w:rFonts w:eastAsia="Times New Roman" w:cs="Times New Roman"/>
          <w:color w:val="333333"/>
          <w:sz w:val="22"/>
          <w:lang w:val="en"/>
        </w:rPr>
        <w:t>Audit</w:t>
      </w:r>
      <w:r w:rsidRPr="00CA4F8E">
        <w:rPr>
          <w:rFonts w:eastAsia="Times New Roman" w:cs="Times New Roman"/>
          <w:color w:val="333333"/>
          <w:sz w:val="22"/>
          <w:lang w:val="en"/>
        </w:rPr>
        <w:t xml:space="preserve"> Committee meeting, management shall recommend Related Party Transactions to be entered into by the Company for that calendar year, including the proposed aggregate value of such transactions if applicable. After review, the Committee shall approve or disapprove such transactions and </w:t>
      </w:r>
      <w:r w:rsidRPr="00CA4F8E">
        <w:rPr>
          <w:rFonts w:eastAsia="Times New Roman" w:cs="Times New Roman"/>
          <w:color w:val="333333"/>
          <w:sz w:val="22"/>
          <w:lang w:val="en"/>
        </w:rPr>
        <w:lastRenderedPageBreak/>
        <w:t>at each subsequently scheduled meeting, management shall update the Committee as to any material change to those proposed transactions.</w:t>
      </w:r>
    </w:p>
    <w:p w14:paraId="7937BCE6" w14:textId="77777777"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In the event management recommends any further Related Party Transactions subsequent to the first calendar year meeting, such transactions may be presented to the Committee for approval or preliminary entered into by management subject to ratification by the Committee; provided that if ratification shall not be forthcoming, management shall cancel or annul such transaction.</w:t>
      </w:r>
    </w:p>
    <w:p w14:paraId="6A56B585"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b/>
          <w:bCs/>
          <w:color w:val="333333"/>
          <w:sz w:val="22"/>
          <w:lang w:val="en"/>
        </w:rPr>
        <w:t>C. Corporate Opportunity</w:t>
      </w:r>
    </w:p>
    <w:p w14:paraId="1B7E93CC" w14:textId="77777777"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The Board recognizes that situations exist where a significant opportunity may be presented to management or a member of the Board of Directors that may equally be available to the Company, either directly or via referral. Before such opportunity may be consummated by a Related Party, such opportunity shal</w:t>
      </w:r>
      <w:r>
        <w:rPr>
          <w:rFonts w:eastAsia="Times New Roman" w:cs="Times New Roman"/>
          <w:color w:val="333333"/>
          <w:sz w:val="22"/>
          <w:lang w:val="en"/>
        </w:rPr>
        <w:t>l be presented to the Audit</w:t>
      </w:r>
      <w:r w:rsidRPr="00CA4F8E">
        <w:rPr>
          <w:rFonts w:eastAsia="Times New Roman" w:cs="Times New Roman"/>
          <w:color w:val="333333"/>
          <w:sz w:val="22"/>
          <w:lang w:val="en"/>
        </w:rPr>
        <w:t xml:space="preserve"> Committee for consideration.</w:t>
      </w:r>
    </w:p>
    <w:p w14:paraId="61F8C2D6" w14:textId="77777777" w:rsidR="00D67D93" w:rsidRPr="00CA4F8E" w:rsidRDefault="003F41FB" w:rsidP="00CA4F8E">
      <w:pPr>
        <w:spacing w:before="240" w:after="240" w:line="343" w:lineRule="atLeast"/>
        <w:rPr>
          <w:rFonts w:eastAsia="Times New Roman" w:cs="Times New Roman"/>
          <w:color w:val="333333"/>
          <w:sz w:val="22"/>
          <w:lang w:val="en"/>
        </w:rPr>
      </w:pPr>
      <w:r w:rsidRPr="00CA4F8E">
        <w:rPr>
          <w:rFonts w:eastAsia="Times New Roman" w:cs="Times New Roman"/>
          <w:b/>
          <w:bCs/>
          <w:color w:val="333333"/>
          <w:sz w:val="22"/>
          <w:lang w:val="en"/>
        </w:rPr>
        <w:t>D. Disclosure</w:t>
      </w:r>
    </w:p>
    <w:p w14:paraId="1F5781C2" w14:textId="77777777" w:rsidR="00D67D93" w:rsidRPr="00CA4F8E" w:rsidRDefault="003F41FB" w:rsidP="00E278ED">
      <w:pPr>
        <w:spacing w:before="240" w:after="240" w:line="343" w:lineRule="atLeast"/>
        <w:jc w:val="both"/>
        <w:rPr>
          <w:rFonts w:eastAsia="Times New Roman" w:cs="Times New Roman"/>
          <w:color w:val="333333"/>
          <w:sz w:val="22"/>
          <w:lang w:val="en"/>
        </w:rPr>
      </w:pPr>
      <w:r w:rsidRPr="00CA4F8E">
        <w:rPr>
          <w:rFonts w:eastAsia="Times New Roman" w:cs="Times New Roman"/>
          <w:color w:val="333333"/>
          <w:sz w:val="22"/>
          <w:lang w:val="en"/>
        </w:rPr>
        <w:t>All Related Party Transactions are to be disclosed in the Company's applicable filings as required by the Securities Act of 1933 and the Securities Exchange Act of 1934 and related rules. Furthermore, all Related Party Transactions shal</w:t>
      </w:r>
      <w:r>
        <w:rPr>
          <w:rFonts w:eastAsia="Times New Roman" w:cs="Times New Roman"/>
          <w:color w:val="333333"/>
          <w:sz w:val="22"/>
          <w:lang w:val="en"/>
        </w:rPr>
        <w:t>l be disclosed to the Audit</w:t>
      </w:r>
      <w:r w:rsidRPr="00CA4F8E">
        <w:rPr>
          <w:rFonts w:eastAsia="Times New Roman" w:cs="Times New Roman"/>
          <w:color w:val="333333"/>
          <w:sz w:val="22"/>
          <w:lang w:val="en"/>
        </w:rPr>
        <w:t xml:space="preserve"> Committee of the Board and any material Related Party Transaction shall be disclosed to the full Board of Directors.</w:t>
      </w:r>
    </w:p>
    <w:p w14:paraId="7B19A62C" w14:textId="77777777" w:rsidR="00D67D93" w:rsidRPr="00CA4F8E" w:rsidRDefault="00D67D93">
      <w:pPr>
        <w:rPr>
          <w:rFonts w:cs="Times New Roman"/>
          <w:color w:val="333333"/>
          <w:sz w:val="22"/>
          <w:lang w:val="en"/>
        </w:rPr>
      </w:pPr>
    </w:p>
    <w:sectPr w:rsidR="00D67D93" w:rsidRPr="00CA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0EC1"/>
    <w:multiLevelType w:val="multilevel"/>
    <w:tmpl w:val="5872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2B68F6"/>
    <w:multiLevelType w:val="multilevel"/>
    <w:tmpl w:val="0140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9E1967"/>
    <w:multiLevelType w:val="multilevel"/>
    <w:tmpl w:val="86DC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191094">
    <w:abstractNumId w:val="0"/>
  </w:num>
  <w:num w:numId="2" w16cid:durableId="2120758293">
    <w:abstractNumId w:val="2"/>
  </w:num>
  <w:num w:numId="3" w16cid:durableId="5501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60"/>
    <w:rsid w:val="00134AC4"/>
    <w:rsid w:val="00377349"/>
    <w:rsid w:val="003F41FB"/>
    <w:rsid w:val="00490AC4"/>
    <w:rsid w:val="009579A1"/>
    <w:rsid w:val="009A38A6"/>
    <w:rsid w:val="00BB7DC0"/>
    <w:rsid w:val="00D41560"/>
    <w:rsid w:val="00D67D93"/>
    <w:rsid w:val="00E278ED"/>
    <w:rsid w:val="00F9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62F5"/>
  <w15:docId w15:val="{7DE68397-3781-46C5-8D32-96F60678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4F8E"/>
    <w:pPr>
      <w:spacing w:before="160" w:after="114" w:line="343" w:lineRule="atLeast"/>
      <w:outlineLvl w:val="0"/>
    </w:pPr>
    <w:rPr>
      <w:rFonts w:ascii="Helvetica" w:eastAsia="Times New Roman" w:hAnsi="Helvetica" w:cs="Times New Roman"/>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8B"/>
    <w:pPr>
      <w:tabs>
        <w:tab w:val="center" w:pos="4680"/>
        <w:tab w:val="right" w:pos="9360"/>
      </w:tabs>
    </w:pPr>
  </w:style>
  <w:style w:type="character" w:customStyle="1" w:styleId="HeaderChar">
    <w:name w:val="Header Char"/>
    <w:basedOn w:val="DefaultParagraphFont"/>
    <w:link w:val="Header"/>
    <w:uiPriority w:val="99"/>
    <w:rsid w:val="00454D8B"/>
  </w:style>
  <w:style w:type="paragraph" w:styleId="Footer">
    <w:name w:val="footer"/>
    <w:basedOn w:val="Normal"/>
    <w:link w:val="FooterChar"/>
    <w:uiPriority w:val="99"/>
    <w:unhideWhenUsed/>
    <w:rsid w:val="00454D8B"/>
    <w:pPr>
      <w:tabs>
        <w:tab w:val="center" w:pos="4680"/>
        <w:tab w:val="right" w:pos="9360"/>
      </w:tabs>
    </w:pPr>
  </w:style>
  <w:style w:type="character" w:customStyle="1" w:styleId="FooterChar">
    <w:name w:val="Footer Char"/>
    <w:basedOn w:val="DefaultParagraphFont"/>
    <w:link w:val="Footer"/>
    <w:uiPriority w:val="99"/>
    <w:rsid w:val="00454D8B"/>
  </w:style>
  <w:style w:type="character" w:customStyle="1" w:styleId="Heading1Char">
    <w:name w:val="Heading 1 Char"/>
    <w:basedOn w:val="DefaultParagraphFont"/>
    <w:link w:val="Heading1"/>
    <w:uiPriority w:val="9"/>
    <w:rsid w:val="00CA4F8E"/>
    <w:rPr>
      <w:rFonts w:ascii="Helvetica" w:eastAsia="Times New Roman" w:hAnsi="Helvetica" w:cs="Times New Roman"/>
      <w:b/>
      <w:bCs/>
      <w:kern w:val="36"/>
      <w:sz w:val="36"/>
      <w:szCs w:val="36"/>
    </w:rPr>
  </w:style>
  <w:style w:type="paragraph" w:styleId="NormalWeb">
    <w:name w:val="Normal (Web)"/>
    <w:basedOn w:val="Normal"/>
    <w:uiPriority w:val="99"/>
    <w:semiHidden/>
    <w:unhideWhenUsed/>
    <w:rsid w:val="00CA4F8E"/>
    <w:pPr>
      <w:spacing w:before="240" w:after="240"/>
    </w:pPr>
    <w:rPr>
      <w:rFonts w:eastAsia="Times New Roman" w:cs="Times New Roman"/>
      <w:szCs w:val="24"/>
    </w:rPr>
  </w:style>
  <w:style w:type="character" w:styleId="Strong">
    <w:name w:val="Strong"/>
    <w:basedOn w:val="DefaultParagraphFont"/>
    <w:uiPriority w:val="22"/>
    <w:qFormat/>
    <w:rsid w:val="00CA4F8E"/>
    <w:rPr>
      <w:b/>
      <w:bCs/>
    </w:rPr>
  </w:style>
  <w:style w:type="paragraph" w:styleId="NoSpacing">
    <w:name w:val="No Spacing"/>
    <w:uiPriority w:val="1"/>
    <w:qFormat/>
    <w:rsid w:val="00CA4F8E"/>
    <w:pPr>
      <w:widowControl w:val="0"/>
      <w:autoSpaceDE w:val="0"/>
      <w:autoSpaceDN w:val="0"/>
      <w:adjustRightInd w:val="0"/>
    </w:pPr>
    <w:rPr>
      <w:rFonts w:ascii="Calibri" w:eastAsia="Times New Roman" w:hAnsi="Calibri" w:cs="Calibri"/>
      <w:sz w:val="22"/>
      <w:lang w:eastAsia="en-US"/>
    </w:rPr>
  </w:style>
  <w:style w:type="paragraph" w:styleId="Revision">
    <w:name w:val="Revision"/>
    <w:hidden/>
    <w:uiPriority w:val="99"/>
    <w:semiHidden/>
    <w:rsid w:val="00BB7DC0"/>
  </w:style>
  <w:style w:type="paragraph" w:styleId="BodyText">
    <w:name w:val="Body Text"/>
    <w:basedOn w:val="Normal"/>
    <w:link w:val="BodyTextChar"/>
    <w:uiPriority w:val="1"/>
    <w:qFormat/>
    <w:rsid w:val="00BB7DC0"/>
    <w:pPr>
      <w:widowControl w:val="0"/>
      <w:autoSpaceDE w:val="0"/>
      <w:autoSpaceDN w:val="0"/>
      <w:adjustRightInd w:val="0"/>
      <w:ind w:left="120"/>
    </w:pPr>
    <w:rPr>
      <w:rFonts w:eastAsia="SimSun" w:cs="Times New Roman"/>
      <w:szCs w:val="24"/>
    </w:rPr>
  </w:style>
  <w:style w:type="character" w:customStyle="1" w:styleId="BodyTextChar">
    <w:name w:val="Body Text Char"/>
    <w:basedOn w:val="DefaultParagraphFont"/>
    <w:link w:val="BodyText"/>
    <w:uiPriority w:val="1"/>
    <w:rsid w:val="00BB7DC0"/>
    <w:rPr>
      <w:rFonts w:eastAsia="SimSu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2E7C6-58E4-49FA-9BD3-B9DDAF33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Li</dc:creator>
  <cp:lastModifiedBy>Jeffrey Li</cp:lastModifiedBy>
  <cp:revision>11</cp:revision>
  <dcterms:created xsi:type="dcterms:W3CDTF">2020-06-09T19:30:00Z</dcterms:created>
  <dcterms:modified xsi:type="dcterms:W3CDTF">2025-02-13T17:16:00Z</dcterms:modified>
</cp:coreProperties>
</file>